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header2.xml" ContentType="application/vnd.openxmlformats-officedocument.wordprocessingml.header+xml"/>
  <Override PartName="/word/_rels/document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spacing w:before="4" w:after="1"/>
        <w:ind w:start="0" w:end="0"/>
        <w:jc w:val="start"/>
        <w:rPr>
          <w:sz w:val="7"/>
        </w:rPr>
      </w:pPr>
      <w:r>
        <w:rPr>
          <w:sz w:val="7"/>
        </w:rPr>
      </w:r>
    </w:p>
    <w:p>
      <w:pPr>
        <w:pStyle w:val="BodyText"/>
        <w:ind w:start="4437" w:end="0"/>
        <w:jc w:val="start"/>
        <w:rPr>
          <w:sz w:val="20"/>
        </w:rPr>
      </w:pPr>
      <w:r>
        <w:rPr>
          <w:sz w:val="20"/>
        </w:rPr>
      </w:r>
    </w:p>
    <w:p>
      <w:pPr>
        <w:sectPr>
          <w:headerReference w:type="even" r:id="rId2"/>
          <w:headerReference w:type="default" r:id="rId3"/>
          <w:headerReference w:type="first" r:id="rId4"/>
          <w:type w:val="nextPage"/>
          <w:pgSz w:w="11906" w:h="16838"/>
          <w:pgMar w:left="1275" w:right="566" w:gutter="0" w:header="156" w:top="1600" w:footer="0" w:bottom="280"/>
          <w:pgNumType w:fmt="decimal"/>
          <w:formProt w:val="false"/>
          <w:textDirection w:val="lrTb"/>
          <w:docGrid w:type="default" w:linePitch="100" w:charSpace="0"/>
        </w:sectPr>
      </w:pPr>
    </w:p>
    <w:p>
      <w:pPr>
        <w:pStyle w:val="Normal"/>
        <w:spacing w:before="87" w:after="0"/>
        <w:ind w:hanging="0" w:start="567" w:end="0"/>
        <w:jc w:val="center"/>
        <w:rPr>
          <w:b/>
          <w:sz w:val="24"/>
        </w:rPr>
      </w:pPr>
      <w:r>
        <w:rPr>
          <w:b/>
          <w:spacing w:val="-2"/>
          <w:sz w:val="24"/>
        </w:rPr>
        <w:t>RESUMO</w:t>
      </w:r>
    </w:p>
    <w:p>
      <w:pPr>
        <w:pStyle w:val="BodyText"/>
        <w:spacing w:before="249" w:after="0"/>
        <w:ind w:start="426" w:end="561"/>
        <w:rPr/>
      </w:pPr>
      <w:r>
        <w:rPr/>
        <w:t>A pesquisa aborda o controle das contas públicas e a avaliação da execução do orçamento público</w:t>
      </w:r>
      <w:r>
        <w:rPr>
          <w:spacing w:val="-13"/>
        </w:rPr>
        <w:t xml:space="preserve"> </w:t>
      </w:r>
      <w:r>
        <w:rPr/>
        <w:t>no</w:t>
      </w:r>
      <w:r>
        <w:rPr>
          <w:spacing w:val="-13"/>
        </w:rPr>
        <w:t xml:space="preserve"> </w:t>
      </w:r>
      <w:r>
        <w:rPr/>
        <w:t>contexto</w:t>
      </w:r>
      <w:r>
        <w:rPr>
          <w:spacing w:val="-11"/>
        </w:rPr>
        <w:t xml:space="preserve"> </w:t>
      </w:r>
      <w:r>
        <w:rPr/>
        <w:t>do</w:t>
      </w:r>
      <w:r>
        <w:rPr>
          <w:spacing w:val="-13"/>
        </w:rPr>
        <w:t xml:space="preserve"> </w:t>
      </w:r>
      <w:r>
        <w:rPr/>
        <w:t>regime</w:t>
      </w:r>
      <w:r>
        <w:rPr>
          <w:spacing w:val="-15"/>
        </w:rPr>
        <w:t xml:space="preserve"> </w:t>
      </w:r>
      <w:r>
        <w:rPr/>
        <w:t>fiscal</w:t>
      </w:r>
      <w:r>
        <w:rPr>
          <w:spacing w:val="-15"/>
        </w:rPr>
        <w:t xml:space="preserve"> </w:t>
      </w:r>
      <w:r>
        <w:rPr/>
        <w:t>brasileiro.</w:t>
      </w:r>
      <w:r>
        <w:rPr>
          <w:spacing w:val="-13"/>
        </w:rPr>
        <w:t xml:space="preserve"> </w:t>
      </w:r>
      <w:r>
        <w:rPr/>
        <w:t>Destaca-se</w:t>
      </w:r>
      <w:r>
        <w:rPr>
          <w:spacing w:val="-13"/>
        </w:rPr>
        <w:t xml:space="preserve"> </w:t>
      </w:r>
      <w:r>
        <w:rPr/>
        <w:t>a</w:t>
      </w:r>
      <w:r>
        <w:rPr>
          <w:spacing w:val="-15"/>
        </w:rPr>
        <w:t xml:space="preserve"> </w:t>
      </w:r>
      <w:r>
        <w:rPr/>
        <w:t>importância</w:t>
      </w:r>
      <w:r>
        <w:rPr>
          <w:spacing w:val="-15"/>
        </w:rPr>
        <w:t xml:space="preserve"> </w:t>
      </w:r>
      <w:r>
        <w:rPr/>
        <w:t>do</w:t>
      </w:r>
      <w:r>
        <w:rPr>
          <w:spacing w:val="-13"/>
        </w:rPr>
        <w:t xml:space="preserve"> </w:t>
      </w:r>
      <w:r>
        <w:rPr/>
        <w:t>controle</w:t>
      </w:r>
      <w:r>
        <w:rPr>
          <w:spacing w:val="-15"/>
        </w:rPr>
        <w:t xml:space="preserve"> </w:t>
      </w:r>
      <w:r>
        <w:rPr/>
        <w:t>das</w:t>
      </w:r>
      <w:r>
        <w:rPr>
          <w:spacing w:val="-13"/>
        </w:rPr>
        <w:t xml:space="preserve"> </w:t>
      </w:r>
      <w:r>
        <w:rPr/>
        <w:t>contas públicas para que a sociedade possa observar o retorno dos tributos pagos em serviços oferecidos</w:t>
      </w:r>
      <w:r>
        <w:rPr>
          <w:spacing w:val="-15"/>
        </w:rPr>
        <w:t xml:space="preserve"> </w:t>
      </w:r>
      <w:r>
        <w:rPr/>
        <w:t>pela</w:t>
      </w:r>
      <w:r>
        <w:rPr>
          <w:spacing w:val="-15"/>
        </w:rPr>
        <w:t xml:space="preserve"> </w:t>
      </w:r>
      <w:r>
        <w:rPr/>
        <w:t>Administração</w:t>
      </w:r>
      <w:r>
        <w:rPr>
          <w:spacing w:val="-15"/>
        </w:rPr>
        <w:t xml:space="preserve"> </w:t>
      </w:r>
      <w:r>
        <w:rPr/>
        <w:t>Pública.</w:t>
      </w:r>
      <w:r>
        <w:rPr>
          <w:spacing w:val="-15"/>
        </w:rPr>
        <w:t xml:space="preserve"> </w:t>
      </w:r>
      <w:r>
        <w:rPr/>
        <w:t>O</w:t>
      </w:r>
      <w:r>
        <w:rPr>
          <w:spacing w:val="-15"/>
        </w:rPr>
        <w:t xml:space="preserve"> </w:t>
      </w:r>
      <w:r>
        <w:rPr/>
        <w:t>estudo</w:t>
      </w:r>
      <w:r>
        <w:rPr>
          <w:spacing w:val="-15"/>
        </w:rPr>
        <w:t xml:space="preserve"> </w:t>
      </w:r>
      <w:r>
        <w:rPr/>
        <w:t>se</w:t>
      </w:r>
      <w:r>
        <w:rPr>
          <w:spacing w:val="-15"/>
        </w:rPr>
        <w:t xml:space="preserve"> </w:t>
      </w:r>
      <w:r>
        <w:rPr/>
        <w:t>concentra</w:t>
      </w:r>
      <w:r>
        <w:rPr>
          <w:spacing w:val="-15"/>
        </w:rPr>
        <w:t xml:space="preserve"> </w:t>
      </w:r>
      <w:r>
        <w:rPr/>
        <w:t>na</w:t>
      </w:r>
      <w:r>
        <w:rPr>
          <w:spacing w:val="-15"/>
        </w:rPr>
        <w:t xml:space="preserve"> </w:t>
      </w:r>
      <w:r>
        <w:rPr/>
        <w:t>análise</w:t>
      </w:r>
      <w:r>
        <w:rPr>
          <w:spacing w:val="-15"/>
        </w:rPr>
        <w:t xml:space="preserve"> </w:t>
      </w:r>
      <w:r>
        <w:rPr/>
        <w:t>dos</w:t>
      </w:r>
      <w:r>
        <w:rPr>
          <w:spacing w:val="-15"/>
        </w:rPr>
        <w:t xml:space="preserve"> </w:t>
      </w:r>
      <w:r>
        <w:rPr/>
        <w:t>dados</w:t>
      </w:r>
      <w:r>
        <w:rPr>
          <w:spacing w:val="-15"/>
        </w:rPr>
        <w:t xml:space="preserve"> </w:t>
      </w:r>
      <w:r>
        <w:rPr/>
        <w:t>das</w:t>
      </w:r>
      <w:r>
        <w:rPr>
          <w:spacing w:val="-15"/>
        </w:rPr>
        <w:t xml:space="preserve"> </w:t>
      </w:r>
      <w:r>
        <w:rPr/>
        <w:t>despesas primárias pagas, nos Balanços Orçamentários e nos índices</w:t>
      </w:r>
      <w:r>
        <w:rPr>
          <w:spacing w:val="-2"/>
        </w:rPr>
        <w:t xml:space="preserve"> </w:t>
      </w:r>
      <w:r>
        <w:rPr/>
        <w:t>de Dívida Pública, para</w:t>
      </w:r>
      <w:r>
        <w:rPr>
          <w:spacing w:val="-2"/>
        </w:rPr>
        <w:t xml:space="preserve"> </w:t>
      </w:r>
      <w:r>
        <w:rPr/>
        <w:t>identificar os impactos dos limites estabelecidos pelo novo regime fiscal instituído pela Emenda Constitucional</w:t>
      </w:r>
      <w:r>
        <w:rPr>
          <w:spacing w:val="-7"/>
        </w:rPr>
        <w:t xml:space="preserve"> </w:t>
      </w:r>
      <w:r>
        <w:rPr/>
        <w:t>95/2016.</w:t>
      </w:r>
      <w:r>
        <w:rPr>
          <w:spacing w:val="-10"/>
        </w:rPr>
        <w:t xml:space="preserve"> </w:t>
      </w:r>
      <w:r>
        <w:rPr/>
        <w:t>São</w:t>
      </w:r>
      <w:r>
        <w:rPr>
          <w:spacing w:val="-7"/>
        </w:rPr>
        <w:t xml:space="preserve"> </w:t>
      </w:r>
      <w:r>
        <w:rPr/>
        <w:t>comparados</w:t>
      </w:r>
      <w:r>
        <w:rPr>
          <w:spacing w:val="-7"/>
        </w:rPr>
        <w:t xml:space="preserve"> </w:t>
      </w:r>
      <w:r>
        <w:rPr/>
        <w:t>os</w:t>
      </w:r>
      <w:r>
        <w:rPr>
          <w:spacing w:val="-7"/>
        </w:rPr>
        <w:t xml:space="preserve"> </w:t>
      </w:r>
      <w:r>
        <w:rPr/>
        <w:t>orçamentos</w:t>
      </w:r>
      <w:r>
        <w:rPr>
          <w:spacing w:val="-7"/>
        </w:rPr>
        <w:t xml:space="preserve"> </w:t>
      </w:r>
      <w:r>
        <w:rPr/>
        <w:t>de</w:t>
      </w:r>
      <w:r>
        <w:rPr>
          <w:spacing w:val="-7"/>
        </w:rPr>
        <w:t xml:space="preserve"> </w:t>
      </w:r>
      <w:r>
        <w:rPr/>
        <w:t>três</w:t>
      </w:r>
      <w:r>
        <w:rPr>
          <w:spacing w:val="-9"/>
        </w:rPr>
        <w:t xml:space="preserve"> </w:t>
      </w:r>
      <w:r>
        <w:rPr/>
        <w:t>anos</w:t>
      </w:r>
      <w:r>
        <w:rPr>
          <w:spacing w:val="-5"/>
        </w:rPr>
        <w:t xml:space="preserve"> </w:t>
      </w:r>
      <w:r>
        <w:rPr/>
        <w:t>anteriores</w:t>
      </w:r>
      <w:r>
        <w:rPr>
          <w:spacing w:val="-7"/>
        </w:rPr>
        <w:t xml:space="preserve"> </w:t>
      </w:r>
      <w:r>
        <w:rPr/>
        <w:t>à</w:t>
      </w:r>
      <w:r>
        <w:rPr>
          <w:spacing w:val="-10"/>
        </w:rPr>
        <w:t xml:space="preserve"> </w:t>
      </w:r>
      <w:r>
        <w:rPr/>
        <w:t>emenda</w:t>
      </w:r>
      <w:r>
        <w:rPr>
          <w:spacing w:val="-10"/>
        </w:rPr>
        <w:t xml:space="preserve"> </w:t>
      </w:r>
      <w:r>
        <w:rPr/>
        <w:t>e</w:t>
      </w:r>
      <w:r>
        <w:rPr>
          <w:spacing w:val="-7"/>
        </w:rPr>
        <w:t xml:space="preserve"> </w:t>
      </w:r>
      <w:r>
        <w:rPr/>
        <w:t>três anos sob sua vigência. O regime fiscal é o conjunto de regras e instituições estabelecidas por lei,</w:t>
      </w:r>
      <w:r>
        <w:rPr>
          <w:spacing w:val="-5"/>
        </w:rPr>
        <w:t xml:space="preserve"> </w:t>
      </w:r>
      <w:r>
        <w:rPr/>
        <w:t>como</w:t>
      </w:r>
      <w:r>
        <w:rPr>
          <w:spacing w:val="-5"/>
        </w:rPr>
        <w:t xml:space="preserve"> </w:t>
      </w:r>
      <w:r>
        <w:rPr/>
        <w:t>a</w:t>
      </w:r>
      <w:r>
        <w:rPr>
          <w:spacing w:val="-7"/>
        </w:rPr>
        <w:t xml:space="preserve"> </w:t>
      </w:r>
      <w:r>
        <w:rPr/>
        <w:t>Constituição</w:t>
      </w:r>
      <w:r>
        <w:rPr>
          <w:spacing w:val="-5"/>
        </w:rPr>
        <w:t xml:space="preserve"> </w:t>
      </w:r>
      <w:r>
        <w:rPr/>
        <w:t>Federal</w:t>
      </w:r>
      <w:r>
        <w:rPr>
          <w:spacing w:val="-7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/>
        <w:t>1988,</w:t>
      </w:r>
      <w:r>
        <w:rPr>
          <w:spacing w:val="-2"/>
        </w:rPr>
        <w:t xml:space="preserve"> </w:t>
      </w:r>
      <w:r>
        <w:rPr/>
        <w:t>a</w:t>
      </w:r>
      <w:r>
        <w:rPr>
          <w:spacing w:val="-2"/>
        </w:rPr>
        <w:t xml:space="preserve"> </w:t>
      </w:r>
      <w:r>
        <w:rPr/>
        <w:t>Lei</w:t>
      </w:r>
      <w:r>
        <w:rPr>
          <w:spacing w:val="-7"/>
        </w:rPr>
        <w:t xml:space="preserve"> </w:t>
      </w:r>
      <w:r>
        <w:rPr/>
        <w:t>nº</w:t>
      </w:r>
      <w:r>
        <w:rPr>
          <w:spacing w:val="-2"/>
        </w:rPr>
        <w:t xml:space="preserve"> </w:t>
      </w:r>
      <w:r>
        <w:rPr/>
        <w:t>4.320/1964</w:t>
      </w:r>
      <w:r>
        <w:rPr>
          <w:spacing w:val="-5"/>
        </w:rPr>
        <w:t xml:space="preserve"> </w:t>
      </w:r>
      <w:r>
        <w:rPr/>
        <w:t>e</w:t>
      </w:r>
      <w:r>
        <w:rPr>
          <w:spacing w:val="-5"/>
        </w:rPr>
        <w:t xml:space="preserve"> </w:t>
      </w:r>
      <w:r>
        <w:rPr/>
        <w:t>a</w:t>
      </w:r>
      <w:r>
        <w:rPr>
          <w:spacing w:val="-2"/>
        </w:rPr>
        <w:t xml:space="preserve"> </w:t>
      </w:r>
      <w:r>
        <w:rPr/>
        <w:t>Lei</w:t>
      </w:r>
      <w:r>
        <w:rPr>
          <w:spacing w:val="-7"/>
        </w:rPr>
        <w:t xml:space="preserve"> </w:t>
      </w:r>
      <w:r>
        <w:rPr/>
        <w:t>Responsabilidade</w:t>
      </w:r>
      <w:r>
        <w:rPr>
          <w:spacing w:val="-5"/>
        </w:rPr>
        <w:t xml:space="preserve"> </w:t>
      </w:r>
      <w:r>
        <w:rPr/>
        <w:t>Fiscal. A Emenda Constitucional 95/2016, conhecida como Novo Regime Fiscal, impõe limites de gastos aos poderes da União por vinte anos. O estudo busca analisar os efeitos desse novo regime fiscal no orçamento público da União, nos períodos de 2014 a 2019, para tanto a pesquisa tem uma abordagem qualitativa de natureza aplicada e descritiva, focando um horizonte</w:t>
      </w:r>
      <w:r>
        <w:rPr>
          <w:spacing w:val="-3"/>
        </w:rPr>
        <w:t xml:space="preserve"> </w:t>
      </w:r>
      <w:r>
        <w:rPr/>
        <w:t>temporal</w:t>
      </w:r>
      <w:r>
        <w:rPr>
          <w:spacing w:val="-1"/>
        </w:rPr>
        <w:t xml:space="preserve"> </w:t>
      </w:r>
      <w:r>
        <w:rPr/>
        <w:t>longitudinal,</w:t>
      </w:r>
      <w:r>
        <w:rPr>
          <w:spacing w:val="-3"/>
        </w:rPr>
        <w:t xml:space="preserve"> </w:t>
      </w:r>
      <w:r>
        <w:rPr/>
        <w:t>e</w:t>
      </w:r>
      <w:r>
        <w:rPr>
          <w:spacing w:val="-3"/>
        </w:rPr>
        <w:t xml:space="preserve"> </w:t>
      </w:r>
      <w:r>
        <w:rPr/>
        <w:t>tomou</w:t>
      </w:r>
      <w:r>
        <w:rPr>
          <w:spacing w:val="-3"/>
        </w:rPr>
        <w:t xml:space="preserve"> </w:t>
      </w:r>
      <w:r>
        <w:rPr/>
        <w:t>por</w:t>
      </w:r>
      <w:r>
        <w:rPr>
          <w:spacing w:val="-3"/>
        </w:rPr>
        <w:t xml:space="preserve"> </w:t>
      </w:r>
      <w:r>
        <w:rPr/>
        <w:t>base</w:t>
      </w:r>
      <w:r>
        <w:rPr>
          <w:spacing w:val="-3"/>
        </w:rPr>
        <w:t xml:space="preserve"> </w:t>
      </w:r>
      <w:r>
        <w:rPr/>
        <w:t>análise</w:t>
      </w:r>
      <w:r>
        <w:rPr>
          <w:spacing w:val="-6"/>
        </w:rPr>
        <w:t xml:space="preserve"> </w:t>
      </w:r>
      <w:r>
        <w:rPr/>
        <w:t>documental</w:t>
      </w:r>
      <w:r>
        <w:rPr>
          <w:spacing w:val="-3"/>
        </w:rPr>
        <w:t xml:space="preserve"> </w:t>
      </w:r>
      <w:r>
        <w:rPr/>
        <w:t>para</w:t>
      </w:r>
      <w:r>
        <w:rPr>
          <w:spacing w:val="-1"/>
        </w:rPr>
        <w:t xml:space="preserve"> </w:t>
      </w:r>
      <w:r>
        <w:rPr/>
        <w:t>coleta</w:t>
      </w:r>
      <w:r>
        <w:rPr>
          <w:spacing w:val="-3"/>
        </w:rPr>
        <w:t xml:space="preserve"> </w:t>
      </w:r>
      <w:r>
        <w:rPr/>
        <w:t>e</w:t>
      </w:r>
      <w:r>
        <w:rPr>
          <w:spacing w:val="-3"/>
        </w:rPr>
        <w:t xml:space="preserve"> </w:t>
      </w:r>
      <w:r>
        <w:rPr/>
        <w:t>tratamento dos dados.</w:t>
      </w:r>
    </w:p>
    <w:p>
      <w:pPr>
        <w:pStyle w:val="BodyText"/>
        <w:spacing w:before="260" w:after="0"/>
        <w:ind w:start="0" w:end="0"/>
        <w:jc w:val="start"/>
        <w:rPr/>
      </w:pPr>
      <w:r>
        <w:rPr/>
      </w:r>
    </w:p>
    <w:p>
      <w:pPr>
        <w:pStyle w:val="BodyText"/>
        <w:spacing w:before="0" w:after="0"/>
        <w:rPr>
          <w:b/>
          <w:spacing w:val="-2"/>
          <w:sz w:val="24"/>
        </w:rPr>
      </w:pPr>
      <w:r>
        <w:rPr/>
        <w:t>Palavras-chave:</w:t>
      </w:r>
      <w:r>
        <w:rPr>
          <w:spacing w:val="-1"/>
        </w:rPr>
        <w:t xml:space="preserve"> </w:t>
      </w:r>
      <w:r>
        <w:rPr/>
        <w:t>Regas</w:t>
      </w:r>
      <w:r>
        <w:rPr>
          <w:spacing w:val="-1"/>
        </w:rPr>
        <w:t xml:space="preserve"> </w:t>
      </w:r>
      <w:r>
        <w:rPr/>
        <w:t>Fiscais, Novo</w:t>
      </w:r>
      <w:r>
        <w:rPr>
          <w:spacing w:val="-1"/>
        </w:rPr>
        <w:t xml:space="preserve"> </w:t>
      </w:r>
      <w:r>
        <w:rPr/>
        <w:t>Regime</w:t>
      </w:r>
      <w:r>
        <w:rPr>
          <w:spacing w:val="-3"/>
        </w:rPr>
        <w:t xml:space="preserve"> </w:t>
      </w:r>
      <w:r>
        <w:rPr/>
        <w:t>Fiscal,</w:t>
      </w:r>
      <w:r>
        <w:rPr>
          <w:spacing w:val="-1"/>
        </w:rPr>
        <w:t xml:space="preserve"> </w:t>
      </w:r>
      <w:r>
        <w:rPr/>
        <w:t>Despesa Primária,</w:t>
      </w:r>
      <w:r>
        <w:rPr>
          <w:spacing w:val="-1"/>
        </w:rPr>
        <w:t xml:space="preserve"> </w:t>
      </w:r>
      <w:r>
        <w:rPr/>
        <w:t>Dívida</w:t>
      </w:r>
      <w:r>
        <w:rPr>
          <w:spacing w:val="-3"/>
        </w:rPr>
        <w:t xml:space="preserve"> </w:t>
      </w:r>
      <w:r>
        <w:rPr>
          <w:spacing w:val="-2"/>
        </w:rPr>
        <w:t>Pública</w:t>
      </w:r>
    </w:p>
    <w:sectPr>
      <w:type w:val="continuous"/>
      <w:pgSz w:w="11906" w:h="16838"/>
      <w:pgMar w:left="1275" w:right="566" w:gutter="0" w:header="156" w:top="1600" w:footer="0" w:bottom="280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/>
      <w:ind w:start="0" w:end="0"/>
      <w:jc w:val="start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page">
                <wp:posOffset>5659120</wp:posOffset>
              </wp:positionH>
              <wp:positionV relativeFrom="page">
                <wp:posOffset>85725</wp:posOffset>
              </wp:positionV>
              <wp:extent cx="1802130" cy="167640"/>
              <wp:effectExtent l="0" t="0" r="0" b="0"/>
              <wp:wrapNone/>
              <wp:docPr id="1" name="Textbox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02160" cy="167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user"/>
                            <w:spacing w:before="13" w:after="0"/>
                            <w:ind w:hanging="0" w:start="20" w:end="0"/>
                            <w:jc w:val="start"/>
                            <w:rPr>
                              <w:rFonts w:ascii="Arial" w:hAnsi="Arial"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color w:val="000000"/>
                              <w:sz w:val="20"/>
                            </w:rPr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" path="m0,0l-2147483645,0l-2147483645,-2147483646l0,-2147483646xe" stroked="f" o:allowincell="f" style="position:absolute;margin-left:445.6pt;margin-top:6.75pt;width:141.85pt;height:13.15pt;mso-wrap-style:none;v-text-anchor:middle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user"/>
                      <w:spacing w:before="13" w:after="0"/>
                      <w:ind w:hanging="0" w:start="20" w:end="0"/>
                      <w:jc w:val="start"/>
                      <w:rPr>
                        <w:rFonts w:ascii="Arial" w:hAnsi="Arial"/>
                        <w:sz w:val="20"/>
                      </w:rPr>
                    </w:pPr>
                    <w:r>
                      <w:rPr>
                        <w:rFonts w:ascii="Arial" w:hAnsi="Arial"/>
                        <w:color w:val="000000"/>
                        <w:sz w:val="20"/>
                      </w:rPr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/>
      <w:ind w:start="0" w:end="0"/>
      <w:jc w:val="start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page">
                <wp:posOffset>5659120</wp:posOffset>
              </wp:positionH>
              <wp:positionV relativeFrom="page">
                <wp:posOffset>85725</wp:posOffset>
              </wp:positionV>
              <wp:extent cx="1802130" cy="167640"/>
              <wp:effectExtent l="0" t="0" r="0" b="0"/>
              <wp:wrapNone/>
              <wp:docPr id="2" name="Textbox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02160" cy="167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user"/>
                            <w:spacing w:before="13" w:after="0"/>
                            <w:ind w:hanging="0" w:start="20" w:end="0"/>
                            <w:jc w:val="start"/>
                            <w:rPr>
                              <w:rFonts w:ascii="Arial" w:hAnsi="Arial"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color w:val="000000"/>
                              <w:sz w:val="20"/>
                            </w:rPr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" path="m0,0l-2147483645,0l-2147483645,-2147483646l0,-2147483646xe" stroked="f" o:allowincell="f" style="position:absolute;margin-left:445.6pt;margin-top:6.75pt;width:141.85pt;height:13.15pt;mso-wrap-style:none;v-text-anchor:middle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user"/>
                      <w:spacing w:before="13" w:after="0"/>
                      <w:ind w:hanging="0" w:start="20" w:end="0"/>
                      <w:jc w:val="start"/>
                      <w:rPr>
                        <w:rFonts w:ascii="Arial" w:hAnsi="Arial"/>
                        <w:sz w:val="20"/>
                      </w:rPr>
                    </w:pPr>
                    <w:r>
                      <w:rPr>
                        <w:rFonts w:ascii="Arial" w:hAnsi="Arial"/>
                        <w:color w:val="000000"/>
                        <w:sz w:val="20"/>
                      </w:rPr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30"/>
  <w:defaultTabStop w:val="720"/>
  <w:autoHyphenation w:val="true"/>
  <w:hyphenationZone w:val="0"/>
  <w:compat>
    <w:ulTrailSpace/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lineRule="auto" w:line="240" w:before="0" w:after="0"/>
      <w:ind w:start="0" w:end="0"/>
      <w:jc w:val="star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pt-PT" w:eastAsia="en-US" w:bidi="ar-SA"/>
    </w:rPr>
  </w:style>
  <w:style w:type="paragraph" w:styleId="Heading1">
    <w:name w:val="heading 1"/>
    <w:basedOn w:val="Normal"/>
    <w:uiPriority w:val="1"/>
    <w:qFormat/>
    <w:pPr>
      <w:ind w:hanging="360" w:start="1146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rPr>
      <w:color w:val="000080"/>
      <w:u w:val="single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uiPriority w:val="1"/>
    <w:qFormat/>
    <w:pPr>
      <w:ind w:start="426"/>
      <w:jc w:val="both"/>
    </w:pPr>
    <w:rPr>
      <w:rFonts w:ascii="Times New Roman" w:hAnsi="Times New Roman" w:eastAsia="Times New Roman" w:cs="Times New Roman"/>
      <w:sz w:val="24"/>
      <w:szCs w:val="24"/>
      <w:lang w:val="pt-PT" w:eastAsia="en-US" w:bidi="ar-SA"/>
    </w:rPr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ndiceuser">
    <w:name w:val="Índice (user)"/>
    <w:basedOn w:val="Normal"/>
    <w:qFormat/>
    <w:pPr>
      <w:suppressLineNumbers/>
    </w:pPr>
    <w:rPr>
      <w:rFonts w:cs="Lucida Sans"/>
    </w:rPr>
  </w:style>
  <w:style w:type="paragraph" w:styleId="TOC1">
    <w:name w:val="toc 1"/>
    <w:basedOn w:val="Normal"/>
    <w:uiPriority w:val="1"/>
    <w:qFormat/>
    <w:pPr>
      <w:spacing w:before="235" w:after="0"/>
      <w:ind w:hanging="679" w:start="1105"/>
    </w:pPr>
    <w:rPr>
      <w:rFonts w:ascii="Times New Roman" w:hAnsi="Times New Roman" w:eastAsia="Times New Roman" w:cs="Times New Roman"/>
      <w:sz w:val="24"/>
      <w:szCs w:val="24"/>
      <w:lang w:val="pt-PT" w:eastAsia="en-US" w:bidi="ar-SA"/>
    </w:rPr>
  </w:style>
  <w:style w:type="paragraph" w:styleId="TOC2">
    <w:name w:val="toc 2"/>
    <w:basedOn w:val="Normal"/>
    <w:uiPriority w:val="1"/>
    <w:qFormat/>
    <w:pPr>
      <w:spacing w:before="122" w:after="0"/>
      <w:ind w:hanging="578" w:start="2195"/>
    </w:pPr>
    <w:rPr>
      <w:rFonts w:ascii="Times New Roman" w:hAnsi="Times New Roman" w:eastAsia="Times New Roman" w:cs="Times New Roman"/>
      <w:sz w:val="24"/>
      <w:szCs w:val="24"/>
      <w:lang w:val="pt-PT" w:eastAsia="en-US" w:bidi="ar-SA"/>
    </w:rPr>
  </w:style>
  <w:style w:type="paragraph" w:styleId="TOC3">
    <w:name w:val="toc 3"/>
    <w:basedOn w:val="Normal"/>
    <w:uiPriority w:val="1"/>
    <w:qFormat/>
    <w:pPr>
      <w:ind w:hanging="761" w:start="2615"/>
    </w:pPr>
    <w:rPr>
      <w:rFonts w:ascii="Times New Roman" w:hAnsi="Times New Roman" w:eastAsia="Times New Roman" w:cs="Times New Roman"/>
      <w:sz w:val="24"/>
      <w:szCs w:val="24"/>
      <w:lang w:val="pt-PT" w:eastAsia="en-US" w:bidi="ar-SA"/>
    </w:rPr>
  </w:style>
  <w:style w:type="paragraph" w:styleId="ListParagraph">
    <w:name w:val="List Paragraph"/>
    <w:basedOn w:val="Normal"/>
    <w:uiPriority w:val="1"/>
    <w:qFormat/>
    <w:pPr>
      <w:ind w:hanging="360" w:start="1146"/>
    </w:pPr>
    <w:rPr>
      <w:rFonts w:ascii="Times New Roman" w:hAnsi="Times New Roman" w:eastAsia="Times New Roman" w:cs="Times New Roman"/>
      <w:lang w:val="pt-PT" w:eastAsia="en-US" w:bidi="ar-SA"/>
    </w:rPr>
  </w:style>
  <w:style w:type="paragraph" w:styleId="Table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type="paragraph" w:styleId="Cabealhoerodapuser">
    <w:name w:val="Cabeçalho e rodapé (user)"/>
    <w:basedOn w:val="Normal"/>
    <w:qFormat/>
    <w:pPr/>
    <w:rPr/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Cabealhoerodapuser"/>
    <w:pPr/>
    <w:rPr/>
  </w:style>
  <w:style w:type="paragraph" w:styleId="Contedodoquadrouser">
    <w:name w:val="Conteúdo do quadro (user)"/>
    <w:basedOn w:val="Normal"/>
    <w:qFormat/>
    <w:pPr/>
    <w:rPr/>
  </w:style>
  <w:style w:type="paragraph" w:styleId="Contedodoquadro">
    <w:name w:val="Conteúdo do quadro"/>
    <w:basedOn w:val="Normal"/>
    <w:qFormat/>
    <w:pPr/>
    <w:rPr/>
  </w:style>
  <w:style w:type="numbering" w:styleId="Semlistauser" w:default="1">
    <w:name w:val="Sem lista (user)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Application>LibreOffice/25.8.1.1$Windows_X86_64 LibreOffice_project/54047653041915e595ad4e45cccea684809c77b5</Application>
  <AppVersion>15.0000</AppVersion>
  <Pages>1</Pages>
  <Words>210</Words>
  <Characters>1161</Characters>
  <CharactersWithSpaces>1368</CharactersWithSpaces>
  <Paragraphs>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2025-10-13T17:56:56Z</dcterms:created>
  <dc:creator>Claudio</dc:creator>
  <dc:description/>
  <dc:language>pt-BR</dc:language>
  <cp:lastModifiedBy/>
  <dcterms:modified xsi:type="dcterms:W3CDTF">2025-10-13T15:04:17Z</dcterms:modified>
  <cp:revision>2</cp:revision>
  <dc:subject/>
  <dc:title>Microsoft Word - TCC Claudio Januario - 19250221 Versão final.docx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2023-06-20T00:00:00Z</vt:filetime>
  </property>
  <property fmtid="{D5CDD505-2E9C-101B-9397-08002B2CF9AE}" pid="3" name="LastSaved">
    <vt:filetime>2025-10-13T00:00:00Z</vt:filetime>
  </property>
  <property fmtid="{D5CDD505-2E9C-101B-9397-08002B2CF9AE}" pid="4" name="Producer">
    <vt:lpwstr>Microsoft: Print To PDF; modified using iText® 5.5.13.1 ©2000-2019 iText Group NV (AGPL-version)</vt:lpwstr>
  </property>
</Properties>
</file>