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1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</w:rPr>
        <w:t>ORÇAMENTO</w:t>
      </w:r>
    </w:p>
    <w:p>
      <w:pPr>
        <w:pStyle w:val="normal11"/>
        <w:rPr>
          <w:position w:val="0"/>
          <w:sz w:val="24"/>
          <w:sz w:val="24"/>
          <w:szCs w:val="24"/>
          <w:vertAlign w:val="baseline"/>
        </w:rPr>
      </w:pPr>
      <w:r>
        <w:rPr>
          <w:position w:val="0"/>
          <w:sz w:val="24"/>
          <w:sz w:val="24"/>
          <w:szCs w:val="24"/>
          <w:vertAlign w:val="baseline"/>
        </w:rPr>
      </w:r>
    </w:p>
    <w:p>
      <w:pPr>
        <w:pStyle w:val="normal11"/>
        <w:ind w:hanging="0" w:left="-851" w:right="-851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PROPOSTA – TRE/SC</w:t>
      </w:r>
    </w:p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1"/>
        <w:tblW w:w="95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07"/>
      </w:tblGrid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Data: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Empresa: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CNPJ: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Endereço: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Telefone: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E-mail: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Responsável pela proposta: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 prazo de entrega dos itens constantes nesta aquisição deve ser de, no máximo, 20 (vinte) dias contados do recebimento da nota de empenho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Local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Os materiais devem ser entregues no edifício Anexo I do Tribunal Regional Eleitoral de Santa Catarina, situado na Rua Esteves Junior, nº 80, Centro – Florianópolis/SC, no horário das 13h às 19h, sem que isso implique acréscimo no preço constante da proposta.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garantia: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Prazo de Garantia de no mínimo 12 meses (1 ano) fornecido pelo fabricante. Após o recebimento definitivo, se constatado defeito nos produtos dentro do período de garantia, será acionado o respectivo fornecedor para a substituição do lote/produto avariado junto ao fabricante.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Validade da Proposta: 6</w:t>
            </w:r>
            <w:r>
              <w:rPr>
                <w:rFonts w:eastAsia="Arial" w:cs="Arial" w:ascii="Arial" w:hAnsi="Arial"/>
              </w:rPr>
              <w:t>0 dias</w:t>
            </w:r>
          </w:p>
        </w:tc>
      </w:tr>
    </w:tbl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Default"/>
        <w:widowControl/>
        <w:suppressAutoHyphens w:val="true"/>
        <w:bidi w:val="0"/>
        <w:spacing w:lineRule="atLeast" w:line="1" w:before="0" w:after="0"/>
        <w:ind w:hanging="0" w:left="-113" w:right="-850"/>
        <w:jc w:val="both"/>
        <w:textAlignment w:val="top"/>
        <w:rPr/>
      </w:pPr>
      <w:r>
        <w:rPr>
          <w:rFonts w:cs="Arial" w:ascii="Arial" w:hAnsi="Arial"/>
          <w:b/>
        </w:rPr>
        <w:t>Objeto</w:t>
      </w:r>
      <w:r>
        <w:rPr>
          <w:rFonts w:cs="Arial" w:ascii="Arial" w:hAnsi="Arial"/>
        </w:rPr>
        <w:t>: Aquisição de lâmpadas led para os imóveis do TRE-SC.</w:t>
      </w:r>
    </w:p>
    <w:p>
      <w:pPr>
        <w:pStyle w:val="Default"/>
        <w:widowControl/>
        <w:suppressAutoHyphens w:val="true"/>
        <w:bidi w:val="0"/>
        <w:spacing w:lineRule="atLeast" w:line="1" w:before="0" w:after="0"/>
        <w:ind w:hanging="0" w:left="-113" w:right="-850"/>
        <w:jc w:val="both"/>
        <w:textAlignment w:val="top"/>
        <w:rPr/>
      </w:pPr>
      <w:r>
        <w:rPr>
          <w:rFonts w:cs="Arial" w:ascii="Arial" w:hAnsi="Arial"/>
        </w:rPr>
        <w:t xml:space="preserve">Especificações, condições e prazos conforme “Termo de Referência” do </w:t>
      </w:r>
      <w:r>
        <w:rPr>
          <w:rFonts w:cs="Arial" w:ascii="Arial" w:hAnsi="Arial"/>
          <w:shd w:fill="auto" w:val="clear"/>
        </w:rPr>
        <w:t>PAE n. 6.483/2025</w:t>
      </w:r>
      <w:r>
        <w:rPr>
          <w:rFonts w:cs="Arial" w:ascii="Arial" w:hAnsi="Arial"/>
        </w:rPr>
        <w:t>.</w:t>
      </w:r>
    </w:p>
    <w:p>
      <w:pPr>
        <w:pStyle w:val="Default"/>
        <w:widowControl/>
        <w:suppressAutoHyphens w:val="true"/>
        <w:bidi w:val="0"/>
        <w:spacing w:lineRule="atLeast" w:line="1" w:before="0" w:after="0"/>
        <w:ind w:hanging="0" w:left="-113" w:right="-850"/>
        <w:jc w:val="both"/>
        <w:textAlignment w:val="top"/>
        <w:rPr>
          <w:rFonts w:ascii="Arial" w:hAnsi="Arial" w:cs="Arial"/>
        </w:rPr>
      </w:pPr>
      <w:r>
        <w:rPr>
          <w:rFonts w:cs="Arial" w:ascii="Arial" w:hAnsi="Arial"/>
        </w:rPr>
        <w:t>Especificações: conforme os itens 3 e 4 do TR.</w:t>
      </w:r>
    </w:p>
    <w:p>
      <w:pPr>
        <w:pStyle w:val="Default"/>
        <w:widowControl/>
        <w:suppressAutoHyphens w:val="true"/>
        <w:bidi w:val="0"/>
        <w:spacing w:lineRule="atLeast" w:line="1" w:before="0" w:after="0"/>
        <w:ind w:hanging="0" w:left="-113" w:right="-850"/>
        <w:jc w:val="both"/>
        <w:textAlignment w:val="top"/>
        <w:rPr/>
      </w:pPr>
      <w:r>
        <w:rPr>
          <w:rFonts w:eastAsia="Arial" w:cs="Arial" w:ascii="Arial" w:hAnsi="Arial"/>
          <w:b w:val="false"/>
          <w:bCs w:val="false"/>
        </w:rPr>
        <w:t>Marca e modelo/código de referência conforme os subitens 3.2 do TR.</w:t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96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7"/>
        <w:gridCol w:w="2725"/>
        <w:gridCol w:w="922"/>
        <w:gridCol w:w="2276"/>
        <w:gridCol w:w="1529"/>
        <w:gridCol w:w="1484"/>
      </w:tblGrid>
      <w:tr>
        <w:trPr>
          <w:tblHeader w:val="true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OBJETO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QUANT.</w:t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MARCA</w:t>
              <w:br/>
              <w:t>e</w:t>
              <w:br/>
              <w:t>MODELO/CÓDIGO/</w:t>
              <w:br/>
              <w:t>REFERÊNCIA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UNITÁRIO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br/>
              <w:t>(R$)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VALOR TOTAL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br/>
              <w:t>(R$)</w:t>
            </w:r>
          </w:p>
        </w:tc>
      </w:tr>
      <w:tr>
        <w:trPr>
          <w:trHeight w:val="61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rFonts w:ascii="Times New Roman" w:hAnsi="Times New Roman" w:eastAsia="Arial" w:cs="Arial"/>
              </w:rPr>
            </w:pPr>
            <w:r>
              <w:rPr/>
              <w:t>Lâmpada LED, tensão de 100-240V, mínimo 12W de potência, base E27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200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610" w:hRule="atLeast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2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eastAsia="Arial" w:cs="Arial"/>
                <w:b w:val="false"/>
                <w:bCs w:val="false"/>
              </w:rPr>
              <w:t>Lâmpada LED tubular T8, tensão de 100-240V, compatível com base G13, com potência mínima de 9W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610" w:hRule="atLeast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3</w:t>
            </w:r>
          </w:p>
        </w:tc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Lâmpada LED tubular T8, tensão de 100-240V compatível com base G13, com no mínimo 18W de potência.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450</w:t>
            </w:r>
          </w:p>
        </w:tc>
        <w:tc>
          <w:tcPr>
            <w:tcW w:w="2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1"/>
        <w:spacing w:lineRule="auto" w:line="240" w:before="120" w:after="0"/>
        <w:ind w:hanging="0" w:left="357"/>
        <w:jc w:val="both"/>
        <w:rPr>
          <w:rFonts w:ascii="Arial" w:hAnsi="Arial" w:eastAsia="Arial" w:cs="Arial"/>
          <w:b w:val="false"/>
          <w:color w:val="000000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b w:val="false"/>
          <w:color w:val="000000"/>
          <w:position w:val="0"/>
          <w:sz w:val="20"/>
          <w:sz w:val="20"/>
          <w:szCs w:val="20"/>
          <w:vertAlign w:val="baseline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708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sectPr>
      <w:type w:val="nextPage"/>
      <w:pgSz w:w="11906" w:h="16838"/>
      <w:pgMar w:left="1418" w:right="1134" w:gutter="0" w:header="0" w:top="426" w:footer="0" w:bottom="28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-Bold">
    <w:charset w:val="00"/>
    <w:family w:val="roman"/>
    <w:pitch w:val="variable"/>
  </w:font>
  <w:font w:name="Tms Rmn">
    <w:altName w:val="Times New Roman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1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Heading1">
    <w:name w:val="heading 1"/>
    <w:basedOn w:val="normal11"/>
    <w:next w:val="normal11"/>
    <w:qFormat/>
    <w:pPr>
      <w:keepNext w:val="true"/>
      <w:suppressAutoHyphens w:val="true"/>
      <w:spacing w:lineRule="atLeast" w:line="1"/>
      <w:jc w:val="center"/>
      <w:textAlignment w:val="top"/>
      <w:outlineLvl w:val="0"/>
    </w:pPr>
    <w:rPr>
      <w:rFonts w:ascii="Arial" w:hAnsi="Arial"/>
      <w:b/>
      <w:w w:val="100"/>
      <w:position w:val="-1"/>
      <w:sz w:val="24"/>
      <w:effect w:val="none"/>
      <w:em w:val="none"/>
      <w:lang w:val="pt-BR" w:eastAsia="pt-BR" w:bidi="ar-SA"/>
    </w:rPr>
  </w:style>
  <w:style w:type="paragraph" w:styleId="Heading2">
    <w:name w:val="heading 2"/>
    <w:basedOn w:val="normal11"/>
    <w:next w:val="normal1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1"/>
    <w:next w:val="normal1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1"/>
    <w:next w:val="normal1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1"/>
    <w:next w:val="normal1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5"/>
    </w:pPr>
    <w:rPr>
      <w:rFonts w:ascii="Calibri" w:hAnsi="Calibri" w:eastAsia="Times New Roman" w:cs="Times New Roman"/>
      <w:b/>
      <w:bCs/>
      <w:w w:val="100"/>
      <w:position w:val="-1"/>
      <w:sz w:val="22"/>
      <w:szCs w:val="22"/>
      <w:effect w:val="none"/>
      <w:em w:val="none"/>
      <w:lang w:val="pt-BR" w:eastAsia="pt-BR" w:bidi="ar-SA"/>
    </w:rPr>
  </w:style>
  <w:style w:type="paragraph" w:styleId="Heading9">
    <w:name w:val="heading 9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8"/>
    </w:pPr>
    <w:rPr>
      <w:rFonts w:ascii="Calibri Light" w:hAnsi="Calibri Light" w:eastAsia="Times New Roman" w:cs="Times New Roman"/>
      <w:w w:val="100"/>
      <w:position w:val="-1"/>
      <w:sz w:val="22"/>
      <w:szCs w:val="22"/>
      <w:effect w:val="none"/>
      <w:em w:val="none"/>
      <w:lang w:val="pt-BR" w:eastAsia="pt-BR" w:bidi="ar-SA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TextodebaloChar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6Char">
    <w:name w:val="Título 6 Char"/>
    <w:qFormat/>
    <w:rPr>
      <w:rFonts w:ascii="Calibri" w:hAnsi="Calibri" w:eastAsia="Times New Roman" w:cs="Times New Roman"/>
      <w:b/>
      <w:bCs/>
      <w:w w:val="100"/>
      <w:position w:val="0"/>
      <w:sz w:val="22"/>
      <w:sz w:val="22"/>
      <w:szCs w:val="22"/>
      <w:effect w:val="none"/>
      <w:vertAlign w:val="baseline"/>
      <w:em w:val="none"/>
    </w:rPr>
  </w:style>
  <w:style w:type="character" w:styleId="Ttulo9Char">
    <w:name w:val="Título 9 Char"/>
    <w:qFormat/>
    <w:rPr>
      <w:rFonts w:ascii="Calibri Light" w:hAnsi="Calibri Light" w:eastAsia="Times New Roman" w:cs="Times New Roman"/>
      <w:w w:val="100"/>
      <w:position w:val="0"/>
      <w:sz w:val="22"/>
      <w:sz w:val="22"/>
      <w:szCs w:val="22"/>
      <w:effect w:val="none"/>
      <w:vertAlign w:val="baseline"/>
      <w:em w:val="none"/>
    </w:rPr>
  </w:style>
  <w:style w:type="paragraph" w:styleId="Ttulo">
    <w:name w:val="Título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11"/>
    <w:qFormat/>
    <w:pPr>
      <w:suppressAutoHyphens w:val="false"/>
      <w:spacing w:lineRule="atLeast" w:line="1" w:before="60" w:after="60"/>
      <w:jc w:val="both"/>
      <w:textAlignment w:val="top"/>
      <w:outlineLvl w:val="0"/>
    </w:pPr>
    <w:rPr>
      <w:rFonts w:ascii="Arial" w:hAnsi="Arial"/>
      <w:color w:val="000000"/>
      <w:w w:val="100"/>
      <w:effect w:val="none"/>
      <w:vertAlign w:val="subscript"/>
      <w:em w:val="none"/>
      <w:lang w:val="pt-BR" w:eastAsia="pt-BR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Arial Unicode M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itle">
    <w:name w:val="Title"/>
    <w:basedOn w:val="normal11"/>
    <w:next w:val="normal1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11" w:default="1">
    <w:name w:val="normal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0"/>
      <w:szCs w:val="20"/>
      <w:lang w:val="pt-BR" w:eastAsia="zh-CN" w:bidi="hi-IN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000000"/>
      <w:w w:val="100"/>
      <w:kern w:val="0"/>
      <w:position w:val="-1"/>
      <w:sz w:val="24"/>
      <w:szCs w:val="20"/>
      <w:effect w:val="none"/>
      <w:em w:val="none"/>
      <w:lang w:val="pt-BR" w:eastAsia="pt-BR" w:bidi="ar-SA"/>
    </w:rPr>
  </w:style>
  <w:style w:type="paragraph" w:styleId="Recuodecorpodetexto">
    <w:name w:val="Recuo de corpo de texto"/>
    <w:basedOn w:val="normal11"/>
    <w:qFormat/>
    <w:pPr>
      <w:suppressAutoHyphens w:val="true"/>
      <w:spacing w:lineRule="atLeast" w:line="1"/>
      <w:ind w:firstLine="3828"/>
      <w:jc w:val="both"/>
      <w:textAlignment w:val="top"/>
      <w:outlineLvl w:val="0"/>
    </w:pPr>
    <w:rPr>
      <w:w w:val="100"/>
      <w:position w:val="-1"/>
      <w:sz w:val="24"/>
      <w:effect w:val="none"/>
      <w:em w:val="none"/>
      <w:lang w:val="pt-BR" w:eastAsia="pt-BR" w:bidi="ar-SA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ahoma-Bold" w:hAnsi="Tahoma-Bold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Textodebalo">
    <w:name w:val="Texto de balão"/>
    <w:basedOn w:val="normal11"/>
    <w:qFormat/>
    <w:pPr>
      <w:suppressAutoHyphens w:val="true"/>
      <w:spacing w:lineRule="atLeast" w:line="1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pt-BR" w:eastAsia="pt-BR" w:bidi="ar-SA"/>
    </w:rPr>
  </w:style>
  <w:style w:type="paragraph" w:styleId="Textoembloco">
    <w:name w:val="Texto em bloco"/>
    <w:basedOn w:val="normal11"/>
    <w:qFormat/>
    <w:pPr>
      <w:tabs>
        <w:tab w:val="clear" w:pos="720"/>
        <w:tab w:val="left" w:pos="2977" w:leader="none"/>
      </w:tabs>
      <w:suppressAutoHyphens w:val="true"/>
      <w:spacing w:lineRule="atLeast" w:line="1"/>
      <w:ind w:firstLine="3682" w:left="-142" w:right="-518"/>
      <w:jc w:val="both"/>
      <w:textAlignment w:val="top"/>
      <w:outlineLvl w:val="0"/>
    </w:pPr>
    <w:rPr>
      <w:rFonts w:ascii="Arial" w:hAnsi="Arial"/>
      <w:w w:val="100"/>
      <w:position w:val="-1"/>
      <w:sz w:val="24"/>
      <w:effect w:val="none"/>
      <w:em w:val="none"/>
      <w:lang w:val="pt-BR" w:eastAsia="pt-BR" w:bidi="ar-SA"/>
    </w:rPr>
  </w:style>
  <w:style w:type="paragraph" w:styleId="PADRAO">
    <w:name w:val="PADRAO"/>
    <w:basedOn w:val="normal11"/>
    <w:qFormat/>
    <w:pPr>
      <w:suppressAutoHyphens w:val="true"/>
      <w:spacing w:lineRule="atLeast" w:line="1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PargrafodaLista">
    <w:name w:val="Parágrafo da Lista"/>
    <w:basedOn w:val="normal11"/>
    <w:qFormat/>
    <w:pPr>
      <w:suppressAutoHyphens w:val="true"/>
      <w:spacing w:lineRule="atLeast" w:line="1"/>
      <w:ind w:left="708"/>
      <w:textAlignment w:val="top"/>
      <w:outlineLvl w:val="0"/>
    </w:pPr>
    <w:rPr>
      <w:w w:val="100"/>
      <w:position w:val="-1"/>
      <w:effect w:val="none"/>
      <w:em w:val="none"/>
      <w:lang w:val="pt-BR" w:eastAsia="pt-BR" w:bidi="ar-SA"/>
    </w:rPr>
  </w:style>
  <w:style w:type="paragraph" w:styleId="A252575">
    <w:name w:val="_A252575"/>
    <w:basedOn w:val="normal11"/>
    <w:qFormat/>
    <w:pPr>
      <w:suppressAutoHyphens w:val="true"/>
      <w:spacing w:lineRule="atLeast" w:line="1"/>
      <w:ind w:firstLine="3456" w:left="3456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TOC1">
    <w:name w:val="toc 1"/>
    <w:basedOn w:val="normal11"/>
    <w:next w:val="normal11"/>
    <w:qFormat/>
    <w:pPr>
      <w:tabs>
        <w:tab w:val="clear" w:pos="720"/>
        <w:tab w:val="left" w:pos="480" w:leader="none"/>
        <w:tab w:val="right" w:pos="9111" w:leader="dot"/>
      </w:tabs>
      <w:suppressAutoHyphens w:val="true"/>
      <w:spacing w:lineRule="atLeast" w:line="1"/>
      <w:jc w:val="both"/>
      <w:textAlignment w:val="top"/>
      <w:outlineLvl w:val="0"/>
    </w:pPr>
    <w:rPr>
      <w:rFonts w:ascii="Arial" w:hAnsi="Arial"/>
      <w:w w:val="100"/>
      <w:position w:val="-1"/>
      <w:effect w:val="none"/>
      <w:em w:val="none"/>
      <w:lang w:val="und" w:eastAsia="und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Semlista">
    <w:name w:val="Sem lista"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styleId="Tabelanormal">
    <w:name w:val="Tabela normal"/>
    <w:qFormat/>
    <w:pPr>
      <w:ind w:rightChars="0"/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FXfGUdMJqJcV4cWWCu0UcL7jWfQ==">CgMxLjA4AHIhMU9kdzY0VWVzQUtjQzFvMkJYbDNOOUwwYmxDMVJUQlpm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LibreOffice/25.2.4.3$Windows_X86_64 LibreOffice_project/33e196637044ead23f5c3226cde09b47731f7e27</Application>
  <AppVersion>15.0000</AppVersion>
  <Pages>1</Pages>
  <Words>237</Words>
  <Characters>1256</Characters>
  <CharactersWithSpaces>1460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2019-07-26T17:18:00Z</dcterms:created>
  <dc:creator>cereiser</dc:creator>
  <dc:description/>
  <dc:language>pt-BR</dc:language>
  <cp:lastModifiedBy/>
  <dcterms:modified xsi:type="dcterms:W3CDTF">2025-07-01T16:54:10Z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